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rPr>
          <w:rFonts w:ascii="Helvetica" w:hAnsi="Helvetica"/>
          <w:b/>
          <w:color w:val="7E5B1D"/>
          <w:sz w:val="18"/>
        </w:rPr>
        <w:t>LOVING MY WORDS © 2026 — OFFICIAL SYSTEM ARTIFACT</w:t>
      </w:r>
    </w:p>
    <w:p>
      <w:pPr>
        <w:spacing w:before="0" w:after="120"/>
        <w:jc w:val="center"/>
      </w:pPr>
      <w:r>
        <w:rPr>
          <w:rFonts w:ascii="Helvetica" w:hAnsi="Helvetica"/>
          <w:b/>
          <w:color w:val="7E5B1D"/>
          <w:sz w:val="18"/>
        </w:rPr>
        <w:t>THE READER'S VERDICT (TRV) — AN ADVANCED BETA READER SYSTEM</w:t>
      </w:r>
    </w:p>
    <w:p>
      <w:pPr>
        <w:pStyle w:val="Heading1"/>
        <w:spacing w:before="320" w:after="120"/>
        <w:jc w:val="center"/>
      </w:pPr>
      <w:r>
        <w:rPr>
          <w:b/>
          <w:color w:val="1E2F47"/>
          <w:sz w:val="40"/>
        </w:rPr>
        <w:t>SAMPLE DELIVERABLES</w:t>
      </w:r>
    </w:p>
    <w:p>
      <w:pPr>
        <w:spacing w:before="0"/>
        <w:jc w:val="center"/>
      </w:pPr>
      <w:r>
        <w:rPr>
          <w:i/>
          <w:color w:val="44536B"/>
          <w:sz w:val="22"/>
        </w:rPr>
        <w:t>THE QUIET LEDGER — a demonstration manuscript written for this page — not a customer's work</w:t>
      </w:r>
    </w:p>
    <w:p>
      <w:pPr>
        <w:spacing w:before="80" w:after="200"/>
        <w:jc w:val="center"/>
      </w:pPr>
      <w:r>
        <w:rPr>
          <w:color w:val="7E5B1D"/>
        </w:rPr>
        <w:t>──────────────────────────────────────────────</w:t>
      </w:r>
    </w:p>
    <w:p>
      <w:pPr>
        <w:spacing w:before="280" w:after="120"/>
      </w:pPr>
      <w:r>
        <w:rPr>
          <w:rFonts w:ascii="Helvetica" w:hAnsi="Helvetica"/>
          <w:b/>
          <w:color w:val="7E5B1D"/>
          <w:sz w:val="22"/>
        </w:rPr>
        <w:t>READ THIS FIRST</w:t>
      </w:r>
    </w:p>
    <w:p>
      <w:pPr>
        <w:spacing w:before="0"/>
      </w:pPr>
      <w:r>
        <w:rPr>
          <w:i w:val="0"/>
          <w:sz w:val="22"/>
        </w:rPr>
        <w:t>Original demonstration fiction, written for the TRV proof pages. It is not a customer's manuscript, not a real submission, and not testimony. Three labelled excerpts are all that exists of it.</w:t>
      </w:r>
    </w:p>
    <w:p>
      <w:pPr>
        <w:spacing w:before="0"/>
      </w:pPr>
      <w:r>
        <w:rPr>
          <w:i w:val="0"/>
          <w:sz w:val="22"/>
        </w:rPr>
        <w:t>THE FRAGMENT RULE, STATED IN PLAIN SIGHT. TRV does not evaluate from fragments: the read is complete before judgment exists, and trv_deepread_gate.py refuses a rating while any structural unit stands unread. THE QUIET LEDGER exists only as the three excerpts published on the proof pages. So the findings below are real — every one is anchored to lines the reader can see — and the Rating &amp; Ceiling block is shown as the SHAPE a writer receives at the bottom of a real brief, with demonstration values. It is not a verdict on this sample, and TRV would not issue one from three chapters.</w:t>
      </w:r>
    </w:p>
    <w:p>
      <w:pPr>
        <w:spacing w:before="80" w:after="200"/>
        <w:jc w:val="center"/>
      </w:pPr>
      <w:r>
        <w:rPr>
          <w:color w:val="7E5B1D"/>
        </w:rPr>
        <w:t>──────────────────────────────────────────────</w:t>
      </w:r>
    </w:p>
    <w:p>
      <w:pPr>
        <w:pStyle w:val="Heading2"/>
        <w:spacing w:before="280" w:after="120"/>
      </w:pPr>
      <w:r>
        <w:rPr>
          <w:b/>
          <w:color w:val="1E2F47"/>
          <w:sz w:val="30"/>
        </w:rPr>
        <w:t>DELIVERABLE ONE — THE FINDINGS BRIEF (demonstration excerpt)</w:t>
      </w:r>
    </w:p>
    <w:p>
      <w:pPr>
        <w:spacing w:after="40"/>
      </w:pPr>
      <w:r>
        <w:rPr>
          <w:b/>
          <w:color w:val="7E5B1D"/>
          <w:sz w:val="20"/>
        </w:rPr>
        <w:t xml:space="preserve">Manuscript:  </w:t>
      </w:r>
      <w:r>
        <w:rPr>
          <w:sz w:val="20"/>
        </w:rPr>
        <w:t>THE QUIET LEDGER</w:t>
      </w:r>
    </w:p>
    <w:p>
      <w:pPr>
        <w:spacing w:after="40"/>
      </w:pPr>
      <w:r>
        <w:rPr>
          <w:b/>
          <w:color w:val="7E5B1D"/>
          <w:sz w:val="20"/>
        </w:rPr>
        <w:t xml:space="preserve">Genre:  </w:t>
      </w:r>
      <w:r>
        <w:rPr>
          <w:sz w:val="20"/>
        </w:rPr>
        <w:t>Literary suspense</w:t>
      </w:r>
    </w:p>
    <w:p>
      <w:pPr>
        <w:spacing w:after="40"/>
      </w:pPr>
      <w:r>
        <w:rPr>
          <w:b/>
          <w:color w:val="7E5B1D"/>
          <w:sz w:val="20"/>
        </w:rPr>
        <w:t xml:space="preserve">Length:  </w:t>
      </w:r>
      <w:r>
        <w:rPr>
          <w:sz w:val="20"/>
        </w:rPr>
        <w:t>1,578 words as measured (the three demonstration excerpts)</w:t>
      </w:r>
    </w:p>
    <w:p>
      <w:pPr>
        <w:spacing w:after="40"/>
      </w:pPr>
      <w:r>
        <w:rPr>
          <w:b/>
          <w:color w:val="7E5B1D"/>
          <w:sz w:val="20"/>
        </w:rPr>
        <w:t xml:space="preserve">The read:  </w:t>
      </w:r>
      <w:r>
        <w:rPr>
          <w:sz w:val="20"/>
        </w:rPr>
        <w:t>Beta Read — DEMONSTRATION</w:t>
      </w:r>
    </w:p>
    <w:p>
      <w:pPr>
        <w:spacing w:after="40"/>
      </w:pPr>
      <w:r>
        <w:rPr>
          <w:b/>
          <w:color w:val="7E5B1D"/>
          <w:sz w:val="20"/>
        </w:rPr>
        <w:t xml:space="preserve">Read Code:  </w:t>
      </w:r>
      <w:r>
        <w:rPr>
          <w:sz w:val="20"/>
        </w:rPr>
        <w:t>TRV-THE-1578-4FB6 — keep this; it carries your manuscript's history with us.</w:t>
      </w:r>
    </w:p>
    <w:p>
      <w:pPr>
        <w:spacing w:after="40"/>
      </w:pPr>
      <w:r>
        <w:rPr>
          <w:b/>
          <w:color w:val="7E5B1D"/>
          <w:sz w:val="20"/>
        </w:rPr>
        <w:t xml:space="preserve">Date:  </w:t>
      </w:r>
      <w:r>
        <w:rPr>
          <w:sz w:val="20"/>
        </w:rPr>
        <w:t>2026-08-23</w:t>
      </w:r>
    </w:p>
    <w:p>
      <w:pPr>
        <w:spacing w:before="80" w:after="200"/>
        <w:jc w:val="center"/>
      </w:pPr>
      <w:r>
        <w:rPr>
          <w:color w:val="7E5B1D"/>
        </w:rPr>
        <w:t>──────────────────────────────────────────────</w:t>
      </w:r>
    </w:p>
    <w:p>
      <w:pPr>
        <w:pStyle w:val="Heading3"/>
        <w:spacing w:before="280" w:after="120"/>
      </w:pPr>
      <w:r>
        <w:rPr>
          <w:b/>
          <w:color w:val="1E2F47"/>
          <w:sz w:val="24"/>
        </w:rPr>
        <w:t>1. THE PROOF OF READING</w:t>
      </w:r>
    </w:p>
    <w:p>
      <w:pPr>
        <w:spacing w:before="0"/>
      </w:pPr>
      <w:r>
        <w:rPr>
          <w:i w:val="0"/>
          <w:sz w:val="22"/>
        </w:rPr>
        <w:t>Measured at 1,578 words across Chapters 2, 3 and 6. Met here: Marcus, who keeps the book; Rosa, his sister; Elena Vasquez; and Rademacher, a word on a paper tab. Three landmarks: the hand that never leaves the book (Ch 2); a torn boot lace in eight inches of water (Ch 3); a cup set on the lid of a drawer (Ch 6).</w:t>
      </w:r>
    </w:p>
    <w:p>
      <w:pPr>
        <w:pStyle w:val="Heading3"/>
        <w:spacing w:before="280" w:after="120"/>
      </w:pPr>
      <w:r>
        <w:rPr>
          <w:b/>
          <w:color w:val="1E2F47"/>
          <w:sz w:val="24"/>
        </w:rPr>
        <w:t>2. THE MANUSCRIPT SNAPSHOT</w:t>
      </w:r>
    </w:p>
    <w:p>
      <w:pPr>
        <w:spacing w:before="0"/>
      </w:pPr>
      <w:r>
        <w:rPr>
          <w:i w:val="0"/>
          <w:sz w:val="22"/>
        </w:rPr>
        <w:t>Genre: literary suspense · Shelf: literary crime and family suspense · Audience: readers of quiet, close-third domestic suspense · Top strength: the object work — the ledger is characterised before anyone speaks about it · Top opportunity: the trust axis between Marcus and Elena moves twice with no scene under either move.</w:t>
      </w:r>
    </w:p>
    <w:p>
      <w:pPr>
        <w:pStyle w:val="Heading3"/>
        <w:spacing w:before="280" w:after="120"/>
      </w:pPr>
      <w:r>
        <w:rPr>
          <w:b/>
          <w:color w:val="1E2F47"/>
          <w:sz w:val="24"/>
        </w:rPr>
        <w:t>3. THE GROUNDING SENTENCE</w:t>
      </w:r>
    </w:p>
    <w:p>
      <w:pPr>
        <w:spacing w:before="0"/>
      </w:pPr>
      <w:r>
        <w:rPr>
          <w:i w:val="0"/>
          <w:sz w:val="22"/>
        </w:rPr>
        <w:t>Everything that follows comes from the manuscript you submitted. Every observation, suggestion, and teaching point is grounded in the pages I read — not assumptions about the story that could have been written.</w:t>
      </w:r>
    </w:p>
    <w:p>
      <w:pPr>
        <w:pStyle w:val="Heading3"/>
        <w:spacing w:before="280" w:after="120"/>
      </w:pPr>
      <w:r>
        <w:rPr>
          <w:b/>
          <w:color w:val="1E2F47"/>
          <w:sz w:val="24"/>
        </w:rPr>
        <w:t>4. THE LETTER — pillar III, CHARACTER MECHANICS &amp; MOTIVATION, question 9 (Desire vs Conflict)</w:t>
      </w:r>
    </w:p>
    <w:p>
      <w:pPr>
        <w:spacing w:before="0"/>
      </w:pPr>
      <w:r>
        <w:rPr>
          <w:i w:val="0"/>
          <w:sz w:val="22"/>
        </w:rPr>
        <w:t>MOTIVATION — Chapter 3</w:t>
        <w:br/>
        <w:t>"He put the key into her hand and closed her fingers over it with his own" … "and for the rest of that week he found himself telling her things he had not told Rosa …" (Ch 3)</w:t>
        <w:br/>
        <w:br/>
        <w:t>WHAT'S OFF — the book's most guarded act changes hands in four lines, to a character the text has given three exchanges, all about materials and weather.</w:t>
        <w:br/>
        <w:br/>
        <w:t>WHY IT'S OFF — Chapter 2 teaches one rule three ways: the payroll answered from memory, the key worn against the skin, the book turned face down for a delivery man. Chapter 3 breaks it without showing why it breaks toward Elena and not Rosa.</w:t>
        <w:br/>
        <w:br/>
        <w:t>WHY IT COULD BE BETTER — the flood is the right pressure and the scene is well staged. The moment need not be smaller; it needs something beneath it.</w:t>
        <w:br/>
        <w:br/>
        <w:t>THE MISSED OPPORTUNITY — Rosa. A brother opening for a stranger what he would not open for his sister is a scene with a third face in it.</w:t>
        <w:br/>
        <w:br/>
        <w:t>THE GAP — nothing between Chapters 2 and 3 tests Elena in front of the reader.</w:t>
        <w:br/>
        <w:br/>
        <w:t>THE GLUE — one small completed trust, honoured on the page, connects two beats that each already work alone: a precise repair, not a rebuild.</w:t>
        <w:br/>
        <w:br/>
        <w:t>You may wish to consider one of the three approaches walked in your walkthrough. The shape is ours. The voice is yours. (found by: the Whole-Work Ledger's Relationship &amp; Knowledge Map, with THE MISSING-MATERIAL DOCTRINE — GLUE)</w:t>
      </w:r>
    </w:p>
    <w:p>
      <w:pPr>
        <w:pStyle w:val="Heading3"/>
        <w:spacing w:before="280" w:after="120"/>
      </w:pPr>
      <w:r>
        <w:rPr>
          <w:b/>
          <w:color w:val="1E2F47"/>
          <w:sz w:val="24"/>
        </w:rPr>
        <w:t>5. THE ACQUISITIONS DESK — "If this landed on my desk today…"</w:t>
      </w:r>
    </w:p>
    <w:p>
      <w:pPr>
        <w:spacing w:before="0"/>
      </w:pPr>
      <w:r>
        <w:rPr>
          <w:i w:val="0"/>
          <w:sz w:val="22"/>
        </w:rPr>
        <w:t>Would I continue reading? YES — the second drawer is a real engine. A rewrite? One pass on connective tissue, not on the prose. Buy it today? Not answerable from three chapters. Biggest strength: restraint.</w:t>
      </w:r>
    </w:p>
    <w:p>
      <w:pPr>
        <w:pStyle w:val="Heading3"/>
        <w:spacing w:before="280" w:after="120"/>
      </w:pPr>
      <w:r>
        <w:rPr>
          <w:b/>
          <w:color w:val="1E2F47"/>
          <w:sz w:val="24"/>
        </w:rPr>
        <w:t>19–23. THE CLOSING BLOCK — the very bottom, the last thing read</w:t>
      </w:r>
    </w:p>
    <w:p>
      <w:pPr>
        <w:spacing w:before="0"/>
      </w:pPr>
      <w:r>
        <w:rPr>
          <w:i w:val="0"/>
          <w:sz w:val="22"/>
        </w:rPr>
        <w:t>(a) COMPARABLE WORKS — craft comparisons drawn from our filed reference canon; current market positioning was not re-verified in this read. The nearest neighbours sit in the quiet domestic-suspense tradition, where an ordinary object carries the dread. (b) THE WALKTHROUGH OFFERING — included with every read. (c) THE CURRENT READ · (d) THE ESTIMATED POTENTIAL AFTER PRIORITY REVISIONS, or the withheld line and its reason · (e) THE HOPE LINE.</w:t>
      </w:r>
    </w:p>
    <w:p>
      <w:pPr>
        <w:pStyle w:val="Heading3"/>
        <w:spacing w:before="280" w:after="120"/>
      </w:pPr>
      <w:r>
        <w:rPr>
          <w:b/>
          <w:color w:val="1E2F47"/>
          <w:sz w:val="24"/>
        </w:rPr>
        <w:t>THE FLAGGED LINE, AS IT STANDS IN THE MANUSCRIPT</w:t>
      </w:r>
    </w:p>
    <w:p>
      <w:pPr>
        <w:spacing w:before="0"/>
      </w:pPr>
      <w:r>
        <w:rPr>
          <w:i/>
          <w:color w:val="44536B"/>
          <w:sz w:val="20"/>
        </w:rPr>
        <w:t>Chapter 3 — The Night the Yard Flooded</w:t>
      </w:r>
    </w:p>
    <w:p>
      <w:pPr>
        <w:spacing w:after="120"/>
        <w:ind w:left="504"/>
      </w:pPr>
      <w:r>
        <w:rPr>
          <w:rFonts w:ascii="Cambria" w:hAnsi="Cambria"/>
          <w:i/>
          <w:sz w:val="21"/>
        </w:rPr>
        <w:t>"Second drawer," he said. "The green book. Take it up to your truck, put it under the seat, and don't open it."</w:t>
      </w:r>
    </w:p>
    <w:p>
      <w:pPr>
        <w:spacing w:after="120"/>
        <w:ind w:left="504"/>
      </w:pPr>
      <w:r>
        <w:rPr>
          <w:rFonts w:ascii="Cambria" w:hAnsi="Cambria"/>
          <w:i/>
          <w:sz w:val="21"/>
        </w:rPr>
        <w:t>He put the key into her hand and closed her fingers over it with his own, and he was back up the ladder before she could say her own name.</w:t>
      </w:r>
    </w:p>
    <w:p>
      <w:pPr>
        <w:spacing w:after="120"/>
        <w:ind w:left="504"/>
      </w:pPr>
      <w:r>
        <w:rPr>
          <w:rFonts w:ascii="Cambria" w:hAnsi="Cambria"/>
          <w:i/>
          <w:sz w:val="21"/>
        </w:rPr>
        <w:t xml:space="preserve">He nodded. Something in him let go all at once, the way a line lets go when the strain comes off it, </w:t>
      </w:r>
      <w:r>
        <w:rPr>
          <w:rFonts w:ascii="Cambria" w:hAnsi="Cambria"/>
          <w:i/>
          <w:sz w:val="21"/>
          <w:highlight w:val="yellow"/>
        </w:rPr>
        <w:t>and for the rest of that week he found himself telling her things he had not told Rosa</w:t>
      </w:r>
      <w:r>
        <w:rPr>
          <w:rFonts w:ascii="Cambria" w:hAnsi="Cambria"/>
          <w:i/>
          <w:sz w:val="21"/>
        </w:rPr>
        <w:t xml:space="preserve"> — about the last winter, about the lawyer, about what his father had actually been like at the end, when the counting was all he had left.</w:t>
      </w:r>
    </w:p>
    <w:p>
      <w:pPr>
        <w:spacing w:before="0"/>
      </w:pPr>
      <w:r>
        <w:rPr>
          <w:i/>
          <w:color w:val="44536B"/>
          <w:sz w:val="19"/>
        </w:rPr>
        <w:t>The writer’s own line is shown, with the flagged span highlighted. The quote is never paraphrased and never edited.</w:t>
      </w:r>
    </w:p>
    <w:p>
      <w:pPr>
        <w:pStyle w:val="Heading3"/>
        <w:spacing w:before="280" w:after="120"/>
      </w:pPr>
      <w:r>
        <w:rPr>
          <w:b/>
          <w:color w:val="1E2F47"/>
          <w:sz w:val="24"/>
        </w:rPr>
        <w:t>What the read found</w:t>
      </w:r>
    </w:p>
    <w:p>
      <w:pPr>
        <w:spacing w:before="0"/>
      </w:pPr>
      <w:r>
        <w:rPr>
          <w:i w:val="0"/>
          <w:sz w:val="22"/>
        </w:rPr>
        <w:t>MOTIVATION — Chapter 3. The story's largest act of trust arrives before the pages have put anything under it. Chapter 2 spends its whole length establishing that Marcus will not open the book for his own sister — he answers her payroll question from memory rather than lifting the lid, he wears the key against his skin, he turns the ledger face down when a delivery man comes up the stairs. Between that chapter and this one, Elena and Marcus have three recorded exchanges, all of them about materials and weather, and the text says so itself: "In two months they had spoken perhaps three times." The handover then happens inside four lines, and the paragraph after it widens the claim from the key to the confidence — he tells her what he has not told Rosa. The connective material this house calls GLUE — the causal link between two beats that each work alone — is missing between Chapter 2 and Chapter 3.</w:t>
      </w:r>
    </w:p>
    <w:p>
      <w:pPr>
        <w:spacing w:before="0"/>
      </w:pPr>
      <w:r>
        <w:rPr>
          <w:i/>
          <w:color w:val="44536B"/>
          <w:sz w:val="19"/>
        </w:rPr>
        <w:t>(found by: the Whole-Work Ledger's Relationship &amp; Knowledge Map, with THE MISSING-MATERIAL DOCTRINE — GLUE)</w:t>
      </w:r>
    </w:p>
    <w:p>
      <w:pPr>
        <w:pStyle w:val="Heading3"/>
        <w:spacing w:before="280" w:after="120"/>
      </w:pPr>
      <w:r>
        <w:rPr>
          <w:b/>
          <w:color w:val="1E2F47"/>
          <w:sz w:val="24"/>
        </w:rPr>
        <w:t>Why it matters — what happens to the reader here</w:t>
      </w:r>
    </w:p>
    <w:p>
      <w:pPr>
        <w:spacing w:before="0"/>
      </w:pPr>
      <w:r>
        <w:rPr>
          <w:i w:val="0"/>
          <w:sz w:val="22"/>
        </w:rPr>
        <w:t>A reader spends Chapter 2 learning one rule about this man, and learns it well, because the chapter teaches it three separate ways. Chapter 3 breaks the rule, which is the right instinct — the flood is exactly the pressure that should break it. What the reader has not been given is any reason why it breaks toward Elena rather than toward Rosa, who has stood in the office for eleven months. So the reader does two things at once: they follow the scene, which is vivid, and they quietly stop believing it. That second thing is expensive. In suspense, the reader's trust in the writer's bookkeeping is the whole instrument — if a man's most guarded act can move without cost, so can everything else, and the ledger stops feeling dangerous. (Reader-experience observation, anchored to Chapter 2's three guardedness beats and the Chapter 3 handover.)</w:t>
      </w:r>
    </w:p>
    <w:p>
      <w:pPr>
        <w:pStyle w:val="Heading3"/>
        <w:spacing w:before="280" w:after="120"/>
      </w:pPr>
      <w:r>
        <w:rPr>
          <w:b/>
          <w:color w:val="1E2F47"/>
          <w:sz w:val="24"/>
        </w:rPr>
        <w:t>Where else it appears</w:t>
      </w:r>
    </w:p>
    <w:p>
      <w:pPr>
        <w:spacing w:before="0"/>
      </w:pPr>
      <w:r>
        <w:rPr>
          <w:i/>
          <w:color w:val="44536B"/>
          <w:sz w:val="20"/>
        </w:rPr>
        <w:t>REPEATS: recurring — the same trust axis moves a second time, in Chapter 6, and again with no scene under it</w:t>
      </w:r>
    </w:p>
    <w:p>
      <w:pPr>
        <w:spacing w:after="120"/>
        <w:ind w:left="504"/>
      </w:pPr>
      <w:r>
        <w:rPr>
          <w:rFonts w:ascii="Cambria" w:hAnsi="Cambria"/>
          <w:i/>
          <w:sz w:val="21"/>
        </w:rPr>
        <w:t>He shut the drawer with his knee while she was still speaking and set his coffee down on the lid of it.</w:t>
      </w:r>
    </w:p>
    <w:p>
      <w:pPr>
        <w:spacing w:after="120"/>
        <w:ind w:left="504"/>
      </w:pPr>
      <w:r>
        <w:rPr>
          <w:rFonts w:ascii="Cambria" w:hAnsi="Cambria"/>
          <w:i/>
          <w:sz w:val="21"/>
        </w:rPr>
        <w:t>"Payroll," he said. "Nothing you'd want."</w:t>
      </w:r>
    </w:p>
    <w:p>
      <w:pPr>
        <w:spacing w:after="120"/>
        <w:ind w:left="504"/>
      </w:pPr>
      <w:r>
        <w:rPr>
          <w:rFonts w:ascii="Cambria" w:hAnsi="Cambria"/>
          <w:i/>
          <w:sz w:val="21"/>
        </w:rPr>
        <w:t>Nothing had happened to make him close it.</w:t>
      </w:r>
    </w:p>
    <w:p>
      <w:pPr>
        <w:spacing w:before="0"/>
      </w:pPr>
      <w:r>
        <w:rPr>
          <w:i w:val="0"/>
          <w:sz w:val="22"/>
        </w:rPr>
        <w:t>Chapter 6 returns Marcus to the guarded man of Chapter 2 — the knee against the drawer, the coffee set on the lid, the flat answer — and the chapter states the absence in its own words: "Nothing had happened to make him close it." Between Chapter 3 and Chapter 6 the pages record no argument, no discovery, no cost. So the two chapters are one finding, not two: the relationship moves a long way forward without a scene, then a long way back without a scene. A reader who did not fully believe Chapter 3 will read Chapter 6 as the book agreeing with them, and the character will start to read as inconsistent rather than as guarded.</w:t>
      </w:r>
    </w:p>
    <w:p>
      <w:pPr>
        <w:pStyle w:val="Heading3"/>
        <w:spacing w:before="280" w:after="120"/>
      </w:pPr>
      <w:r>
        <w:rPr>
          <w:b/>
          <w:color w:val="1E2F47"/>
          <w:sz w:val="24"/>
        </w:rPr>
        <w:t>Possible approaches — plural, because one approach is a prescription</w:t>
      </w:r>
    </w:p>
    <w:p>
      <w:pPr>
        <w:spacing w:before="0"/>
      </w:pPr>
      <w:r>
        <w:rPr>
          <w:i/>
          <w:sz w:val="22"/>
        </w:rPr>
        <w:t>We may show you an example of how a problem could be approached. The example is there to demonstrate the principle — not to replace your words.</w:t>
      </w:r>
    </w:p>
    <w:p>
      <w:pPr>
        <w:pStyle w:val="Heading3"/>
        <w:spacing w:before="160" w:after="120"/>
      </w:pPr>
      <w:r>
        <w:rPr>
          <w:b/>
          <w:color w:val="7E5B1D"/>
          <w:sz w:val="22"/>
        </w:rPr>
        <w:t>Earn the moment</w:t>
      </w:r>
    </w:p>
    <w:p>
      <w:pPr>
        <w:spacing w:before="0"/>
      </w:pPr>
      <w:r>
        <w:rPr>
          <w:i w:val="0"/>
          <w:sz w:val="22"/>
        </w:rPr>
        <w:t>You may wish to consider placing one small, completed test of Elena before the flood — a thing Marcus can afford to lose, given and returned on the page — so that when the key changes hands the reader is remembering something rather than being asked to accept something.</w:t>
      </w:r>
    </w:p>
    <w:p>
      <w:pPr>
        <w:spacing w:before="0"/>
      </w:pPr>
      <w:r>
        <w:rPr>
          <w:i/>
          <w:sz w:val="21"/>
        </w:rPr>
        <w:t>The principle: a large trust reads as earned when a smaller one has already been honoured in front of the reader. In your material that could be as small as money left in the wrong bay and brought upstairs counted — the size does not matter, the witnessing does. What makes it work is that the reader, not Marcus, is the one who learns Elena can be trusted. SUGGESTION — AUTHOR'S CHOICE — NOT IN YOUR MANUSCRIPT.</w:t>
      </w:r>
    </w:p>
    <w:p>
      <w:pPr>
        <w:pStyle w:val="Heading3"/>
        <w:spacing w:before="160" w:after="120"/>
      </w:pPr>
      <w:r>
        <w:rPr>
          <w:b/>
          <w:color w:val="7E5B1D"/>
          <w:sz w:val="22"/>
        </w:rPr>
        <w:t>Calibrate the gesture</w:t>
      </w:r>
    </w:p>
    <w:p>
      <w:pPr>
        <w:spacing w:before="0"/>
      </w:pPr>
      <w:r>
        <w:rPr>
          <w:i w:val="0"/>
          <w:sz w:val="22"/>
        </w:rPr>
        <w:t>You may wish to consider keeping the timing exactly as it is and reducing what changes hands, so the reader's belief is not asked to stretch as far in one line. The confidences of the following week are a second, separate grant — they may not need to arrive in the same breath as the key.</w:t>
      </w:r>
    </w:p>
    <w:p>
      <w:pPr>
        <w:spacing w:before="0"/>
      </w:pPr>
      <w:r>
        <w:rPr>
          <w:i/>
          <w:sz w:val="21"/>
        </w:rPr>
        <w:t>The principle: a reader will usually accept an early gesture that is small before they accept a large one that is early. Handing over the book to be carried is not the same act as handing over what is in it; a scene can do one and hold the other back for later pressure. SUGGESTION — AUTHOR'S CHOICE — NOT IN YOUR MANUSCRIPT.</w:t>
      </w:r>
    </w:p>
    <w:p>
      <w:pPr>
        <w:pStyle w:val="Heading3"/>
        <w:spacing w:before="160" w:after="120"/>
      </w:pPr>
      <w:r>
        <w:rPr>
          <w:b/>
          <w:color w:val="7E5B1D"/>
          <w:sz w:val="22"/>
        </w:rPr>
        <w:t>Acknowledge the rush</w:t>
      </w:r>
    </w:p>
    <w:p>
      <w:pPr>
        <w:spacing w:before="0"/>
      </w:pPr>
      <w:r>
        <w:rPr>
          <w:i w:val="0"/>
          <w:sz w:val="22"/>
        </w:rPr>
        <w:t>You may wish to consider letting the story own the rashness rather than smooth it — the line "There had been no deciding" is already reaching for this, and it currently passes without cost. If the handover is a mistake Marcus made under water at one in the morning, Chapter 6 stops being a reversal and becomes a consequence.</w:t>
      </w:r>
    </w:p>
    <w:p>
      <w:pPr>
        <w:spacing w:before="0"/>
      </w:pPr>
      <w:r>
        <w:rPr>
          <w:i/>
          <w:sz w:val="21"/>
        </w:rPr>
        <w:t>The principle: an unearned act becomes credible when the book treats it as unearned and charges the character for it. The test is whether a later scene makes the reader pay for the earlier one — a debt the reader can feel accruing is a debt they will accept was taken on. SUGGESTION — AUTHOR'S CHOICE — NOT IN YOUR MANUSCRIPT.</w:t>
      </w:r>
    </w:p>
    <w:p>
      <w:pPr>
        <w:spacing w:before="0"/>
      </w:pPr>
      <w:r>
        <w:rPr>
          <w:i/>
          <w:sz w:val="22"/>
        </w:rPr>
        <w:t>The shape is ours. The voice is yours.</w:t>
      </w:r>
    </w:p>
    <w:p>
      <w:pPr>
        <w:pStyle w:val="Heading3"/>
        <w:spacing w:before="280" w:after="120"/>
      </w:pPr>
      <w:r>
        <w:rPr>
          <w:b/>
          <w:color w:val="1E2F47"/>
          <w:sz w:val="24"/>
        </w:rPr>
        <w:t>What TRV deliberately leaves to you</w:t>
      </w:r>
    </w:p>
    <w:p>
      <w:pPr>
        <w:pStyle w:val="ListBullet"/>
        <w:spacing w:after="80"/>
      </w:pPr>
      <w:r>
        <w:t>Whether the trust is earned, calibrated, owned as a mistake — or left exactly as written. All four are legitimate endings to this conversation.</w:t>
      </w:r>
    </w:p>
    <w:p>
      <w:pPr>
        <w:pStyle w:val="ListBullet"/>
        <w:spacing w:after="80"/>
      </w:pPr>
      <w:r>
        <w:t>Where any new material would sit, what happens in it, and who is in the room.</w:t>
      </w:r>
    </w:p>
    <w:p>
      <w:pPr>
        <w:pStyle w:val="ListBullet"/>
        <w:spacing w:after="80"/>
      </w:pPr>
      <w:r>
        <w:t>Every word of it. TRV does not draft the scene, does not supply a replacement paragraph, and does not rewrite the lines it quoted — not even to show you.</w:t>
      </w:r>
    </w:p>
    <w:p>
      <w:pPr>
        <w:pStyle w:val="ListBullet"/>
        <w:spacing w:after="80"/>
      </w:pPr>
      <w:r>
        <w:t>Whether this is the problem worth your afternoon at all. The priority order is our reading; the order you work in is yours.</w:t>
      </w:r>
    </w:p>
    <w:p>
      <w:pPr>
        <w:spacing w:before="0"/>
      </w:pPr>
      <w:r>
        <w:rPr>
          <w:i/>
          <w:color w:val="44536B"/>
          <w:sz w:val="19"/>
        </w:rPr>
        <w:t>The pen never crosses — TRV_ELEVATION_SESSION_PROTOCOL.md, third of the Four Laws; trv_walkthrough_map.py refuses a suggestion carrying replacement prose.</w:t>
      </w:r>
    </w:p>
    <w:p>
      <w:pPr>
        <w:spacing w:before="80" w:after="200"/>
        <w:jc w:val="center"/>
      </w:pPr>
      <w:r>
        <w:rPr>
          <w:color w:val="7E5B1D"/>
        </w:rPr>
        <w:t>──────────────────────────────────────────────</w:t>
      </w:r>
    </w:p>
    <w:p>
      <w:pPr>
        <w:pStyle w:val="Heading2"/>
        <w:spacing w:before="280" w:after="120"/>
      </w:pPr>
      <w:r>
        <w:rPr>
          <w:b/>
          <w:color w:val="1E2F47"/>
          <w:sz w:val="30"/>
        </w:rPr>
        <w:t>DELIVERABLE TWO — THE READER OBSERVATION BRIEF (demonstration excerpt)</w:t>
      </w:r>
    </w:p>
    <w:p>
      <w:pPr>
        <w:spacing w:after="40"/>
      </w:pPr>
      <w:r>
        <w:rPr>
          <w:b/>
          <w:color w:val="7E5B1D"/>
          <w:sz w:val="20"/>
        </w:rPr>
        <w:t xml:space="preserve">Manuscript:  </w:t>
      </w:r>
      <w:r>
        <w:rPr>
          <w:sz w:val="20"/>
        </w:rPr>
        <w:t>THE QUIET LEDGER</w:t>
      </w:r>
    </w:p>
    <w:p>
      <w:pPr>
        <w:spacing w:after="40"/>
      </w:pPr>
      <w:r>
        <w:rPr>
          <w:b/>
          <w:color w:val="7E5B1D"/>
          <w:sz w:val="20"/>
        </w:rPr>
        <w:t xml:space="preserve">Genre:  </w:t>
      </w:r>
      <w:r>
        <w:rPr>
          <w:sz w:val="20"/>
        </w:rPr>
        <w:t>Literary suspense</w:t>
      </w:r>
    </w:p>
    <w:p>
      <w:pPr>
        <w:spacing w:after="40"/>
      </w:pPr>
      <w:r>
        <w:rPr>
          <w:b/>
          <w:color w:val="7E5B1D"/>
          <w:sz w:val="20"/>
        </w:rPr>
        <w:t xml:space="preserve">Length:  </w:t>
      </w:r>
      <w:r>
        <w:rPr>
          <w:sz w:val="20"/>
        </w:rPr>
        <w:t>1,578 words as measured (the three demonstration excerpts)</w:t>
      </w:r>
    </w:p>
    <w:p>
      <w:pPr>
        <w:spacing w:after="40"/>
      </w:pPr>
      <w:r>
        <w:rPr>
          <w:b/>
          <w:color w:val="7E5B1D"/>
          <w:sz w:val="20"/>
        </w:rPr>
        <w:t xml:space="preserve">The read:  </w:t>
      </w:r>
      <w:r>
        <w:rPr>
          <w:sz w:val="20"/>
        </w:rPr>
        <w:t>Beta Read — DEMONSTRATION</w:t>
      </w:r>
    </w:p>
    <w:p>
      <w:pPr>
        <w:spacing w:after="40"/>
      </w:pPr>
      <w:r>
        <w:rPr>
          <w:b/>
          <w:color w:val="7E5B1D"/>
          <w:sz w:val="20"/>
        </w:rPr>
        <w:t xml:space="preserve">Read Code:  </w:t>
      </w:r>
      <w:r>
        <w:rPr>
          <w:sz w:val="20"/>
        </w:rPr>
        <w:t>TRV-THE-1578-4FB6 — keep this; it carries your manuscript's history with us.</w:t>
      </w:r>
    </w:p>
    <w:p>
      <w:pPr>
        <w:spacing w:after="40"/>
      </w:pPr>
      <w:r>
        <w:rPr>
          <w:b/>
          <w:color w:val="7E5B1D"/>
          <w:sz w:val="20"/>
        </w:rPr>
        <w:t xml:space="preserve">Date:  </w:t>
      </w:r>
      <w:r>
        <w:rPr>
          <w:sz w:val="20"/>
        </w:rPr>
        <w:t>2026-08-23</w:t>
      </w:r>
    </w:p>
    <w:p>
      <w:pPr>
        <w:spacing w:before="80" w:after="200"/>
        <w:jc w:val="center"/>
      </w:pPr>
      <w:r>
        <w:rPr>
          <w:color w:val="7E5B1D"/>
        </w:rPr>
        <w:t>──────────────────────────────────────────────</w:t>
      </w:r>
    </w:p>
    <w:p>
      <w:pPr>
        <w:spacing w:before="0"/>
      </w:pPr>
      <w:r>
        <w:rPr>
          <w:i/>
          <w:color w:val="44536B"/>
          <w:sz w:val="22"/>
        </w:rPr>
        <w:t>The eighteen observation questions, each answered from the pages with its anchor, plus the Live Reading Log. Three shown.</w:t>
      </w:r>
    </w:p>
    <w:p>
      <w:pPr>
        <w:pStyle w:val="Heading3"/>
        <w:spacing w:before="160" w:after="120"/>
      </w:pPr>
      <w:r>
        <w:rPr>
          <w:b/>
          <w:color w:val="7E5B1D"/>
          <w:sz w:val="22"/>
        </w:rPr>
        <w:t>4. Were any character motivations unclear or difficult to believe? Please identify the chapter or scene.</w:t>
      </w:r>
    </w:p>
    <w:p>
      <w:pPr>
        <w:spacing w:before="0"/>
      </w:pPr>
      <w:r>
        <w:rPr>
          <w:i w:val="0"/>
          <w:sz w:val="22"/>
        </w:rPr>
        <w:t>Chapter 3, the handover. Not unclear — unbelieved. I knew what Marcus was doing and did not believe he would do it with her yet.</w:t>
      </w:r>
    </w:p>
    <w:p>
      <w:pPr>
        <w:pStyle w:val="Heading3"/>
        <w:spacing w:before="160" w:after="120"/>
      </w:pPr>
      <w:r>
        <w:rPr>
          <w:b/>
          <w:color w:val="7E5B1D"/>
          <w:sz w:val="22"/>
        </w:rPr>
        <w:t>9. Did the emotional moments feel earned?</w:t>
      </w:r>
    </w:p>
    <w:p>
      <w:pPr>
        <w:spacing w:before="0"/>
      </w:pPr>
      <w:r>
        <w:rPr>
          <w:i w:val="0"/>
          <w:sz w:val="22"/>
        </w:rPr>
        <w:t>The flood did. The morning after did not — a fine image I was watching from outside.</w:t>
      </w:r>
    </w:p>
    <w:p>
      <w:pPr>
        <w:pStyle w:val="Heading3"/>
        <w:spacing w:before="160" w:after="120"/>
      </w:pPr>
      <w:r>
        <w:rPr>
          <w:b/>
          <w:color w:val="7E5B1D"/>
          <w:sz w:val="22"/>
        </w:rPr>
        <w:t>16. MEMORABILITY — days later, what would this reader still be carrying?</w:t>
      </w:r>
    </w:p>
    <w:p>
      <w:pPr>
        <w:spacing w:before="0"/>
      </w:pPr>
      <w:r>
        <w:rPr>
          <w:i w:val="0"/>
          <w:sz w:val="22"/>
        </w:rPr>
        <w:t>The thin red line the lace left on his chest in summer, 'like something healing badly.'</w:t>
      </w:r>
    </w:p>
    <w:p>
      <w:pPr>
        <w:pStyle w:val="Heading3"/>
        <w:spacing w:before="280" w:after="120"/>
      </w:pPr>
      <w:r>
        <w:rPr>
          <w:b/>
          <w:color w:val="1E2F47"/>
          <w:sz w:val="24"/>
        </w:rPr>
        <w:t>LIVE READING LOG — one entry, in the framework’s own five fields</w:t>
      </w:r>
    </w:p>
    <w:p>
      <w:pPr>
        <w:spacing w:after="40"/>
      </w:pPr>
      <w:r>
        <w:rPr>
          <w:b/>
          <w:color w:val="7E5B1D"/>
          <w:sz w:val="20"/>
        </w:rPr>
        <w:t xml:space="preserve">Chapter:  </w:t>
      </w:r>
      <w:r>
        <w:rPr>
          <w:sz w:val="20"/>
        </w:rPr>
        <w:t>3</w:t>
      </w:r>
    </w:p>
    <w:p>
      <w:pPr>
        <w:spacing w:after="40"/>
      </w:pPr>
      <w:r>
        <w:rPr>
          <w:b/>
          <w:color w:val="7E5B1D"/>
          <w:sz w:val="20"/>
        </w:rPr>
        <w:t xml:space="preserve">Approximate Page:  </w:t>
      </w:r>
      <w:r>
        <w:rPr>
          <w:sz w:val="20"/>
        </w:rPr>
        <w:t>the morning-after beat</w:t>
      </w:r>
    </w:p>
    <w:p>
      <w:pPr>
        <w:spacing w:after="40"/>
      </w:pPr>
      <w:r>
        <w:rPr>
          <w:b/>
          <w:color w:val="7E5B1D"/>
          <w:sz w:val="20"/>
        </w:rPr>
        <w:t xml:space="preserve">Scene:  </w:t>
      </w:r>
      <w:r>
        <w:rPr>
          <w:sz w:val="20"/>
        </w:rPr>
        <w:t>Elena returns the ledger; Marcus begins telling her what he never told Rosa</w:t>
      </w:r>
    </w:p>
    <w:p>
      <w:pPr>
        <w:spacing w:after="40"/>
      </w:pPr>
      <w:r>
        <w:rPr>
          <w:b/>
          <w:color w:val="7E5B1D"/>
          <w:sz w:val="20"/>
        </w:rPr>
        <w:t xml:space="preserve">Observation:  </w:t>
      </w:r>
      <w:r>
        <w:rPr>
          <w:sz w:val="20"/>
        </w:rPr>
        <w:t>I stopped believing the relationship while still following the scene.</w:t>
      </w:r>
    </w:p>
    <w:p>
      <w:pPr>
        <w:spacing w:after="40"/>
      </w:pPr>
      <w:r>
        <w:rPr>
          <w:b/>
          <w:color w:val="7E5B1D"/>
          <w:sz w:val="20"/>
        </w:rPr>
        <w:t xml:space="preserve">Why it affected the reading experience:  </w:t>
      </w:r>
      <w:r>
        <w:rPr>
          <w:sz w:val="20"/>
        </w:rPr>
        <w:t>A chapter taught me this man does not open. He opened with no reason I could see, and I began reading for the mechanism.</w:t>
      </w:r>
    </w:p>
    <w:p>
      <w:pPr>
        <w:spacing w:before="80" w:after="200"/>
        <w:jc w:val="center"/>
      </w:pPr>
      <w:r>
        <w:rPr>
          <w:color w:val="7E5B1D"/>
        </w:rPr>
        <w:t>──────────────────────────────────────────────</w:t>
      </w:r>
    </w:p>
    <w:p>
      <w:pPr>
        <w:pStyle w:val="Heading2"/>
        <w:spacing w:before="280" w:after="120"/>
      </w:pPr>
      <w:r>
        <w:rPr>
          <w:b/>
          <w:color w:val="1E2F47"/>
          <w:sz w:val="30"/>
        </w:rPr>
        <w:t>THE CURRENT READ AND THE ESTIMATED POTENTIAL — DEMONSTRATION (the shape, not a verdict on this sample)</w:t>
      </w:r>
    </w:p>
    <w:p>
      <w:pPr>
        <w:pStyle w:val="Heading3"/>
        <w:spacing w:before="160" w:after="120"/>
      </w:pPr>
      <w:r>
        <w:rPr>
          <w:b/>
          <w:color w:val="1E2F47"/>
          <w:sz w:val="24"/>
        </w:rPr>
        <w:t>THE CURRENT READ — where these pages stand today</w:t>
      </w:r>
    </w:p>
    <w:p>
      <w:pPr>
        <w:pStyle w:val="Heading1"/>
        <w:spacing w:before="120" w:after="120"/>
        <w:jc w:val="center"/>
      </w:pPr>
      <w:r>
        <w:rPr>
          <w:b/>
          <w:color w:val="7E5B1D"/>
          <w:sz w:val="36"/>
        </w:rPr>
        <w:t>7–8 · PROMISING</w:t>
      </w:r>
    </w:p>
    <w:p>
      <w:pPr>
        <w:spacing w:before="0"/>
      </w:pPr>
      <w:r>
        <w:rPr>
          <w:i w:val="0"/>
          <w:sz w:val="22"/>
        </w:rPr>
        <w:t>Derived, not intuited: six gates counted from the pages — continuity, structural completeness, setup and payoff, period accuracy, language economy, embodied climax — with the derivation table printed beneath the rating so the writer can audit it. Never a decimal.</w:t>
      </w:r>
    </w:p>
    <w:p>
      <w:pPr>
        <w:spacing w:before="0"/>
      </w:pPr>
      <w:r>
        <w:rPr>
          <w:i/>
          <w:color w:val="7E5B1D"/>
          <w:sz w:val="22"/>
        </w:rPr>
        <w:t>DEMONSTRATION VALUES. On three excerpts most gates cannot honestly be counted, and an uncounted gate is never a pass. This shows what the bottom of a brief looks like; it is not a rating of THE QUIET LEDGER.</w:t>
      </w:r>
    </w:p>
    <w:p>
      <w:pPr>
        <w:pStyle w:val="Heading3"/>
        <w:spacing w:before="200" w:after="120"/>
      </w:pPr>
      <w:r>
        <w:rPr>
          <w:b/>
          <w:color w:val="1E2F47"/>
          <w:sz w:val="24"/>
        </w:rPr>
        <w:t>ESTIMATED POTENTIAL AFTER PRIORITY REVISIONS — one band, conditional on the named work</w:t>
      </w:r>
    </w:p>
    <w:p>
      <w:pPr>
        <w:pStyle w:val="Heading1"/>
        <w:spacing w:before="120" w:after="120"/>
        <w:jc w:val="center"/>
      </w:pPr>
      <w:r>
        <w:rPr>
          <w:b/>
          <w:color w:val="7E5B1D"/>
          <w:sz w:val="36"/>
        </w:rPr>
        <w:t>9–10 · READY</w:t>
      </w:r>
    </w:p>
    <w:p>
      <w:pPr>
        <w:spacing w:before="0"/>
      </w:pPr>
      <w:r>
        <w:rPr>
          <w:i w:val="0"/>
          <w:sz w:val="22"/>
        </w:rPr>
        <w:t>Derived the same way the Current Read is: each priority revision below names the band gate it would clear, and the estimate is the band the ladder yields when exactly those gates are re-scored CLEAR — every uncleared gate left as counted. It is where these pages reach IF that work is done, and it is never a second rating.</w:t>
      </w:r>
    </w:p>
    <w:p>
      <w:pPr>
        <w:spacing w:before="0"/>
      </w:pPr>
      <w:r>
        <w:rPr>
          <w:i w:val="0"/>
          <w:color w:val="44536B"/>
          <w:sz w:val="20"/>
        </w:rPr>
        <w:t>Depth is MARKED, never scored. A named move is a PRIORITY REVISION (it resolves a meaningful weakness this read found) or a FURTHER ELEVATION (it could distinguish the book at a higher craft level). Neither is a band. Both explanations that used to sit under two scored ceilings survive here: the connective beats supplied, and Rosa brought into the cost of Chapter 3 — the ledger made to matter to someone besides its keeper.</w:t>
      </w:r>
    </w:p>
    <w:p>
      <w:pPr>
        <w:spacing w:before="0"/>
      </w:pPr>
      <w:r>
        <w:rPr>
          <w:i/>
          <w:color w:val="44536B"/>
          <w:sz w:val="20"/>
        </w:rPr>
        <w:t>WHERE IT CANNOT BE DERIVED, NO NUMBER IS PRINTED. The room says so in its own words: “On this read I cannot responsibly estimate where these pages could reach, and I would rather say so than give you a number I cannot stand behind.” That is the same posture as “no direct comp verified” — an honest silence rather than a guess.</w:t>
      </w:r>
    </w:p>
    <w:p>
      <w:pPr>
        <w:spacing w:before="160"/>
      </w:pPr>
      <w:r>
        <w:rPr>
          <w:i/>
          <w:sz w:val="22"/>
        </w:rPr>
        <w:t>You have written a man whose whole character can be read from where he puts his hand. What is missing is not talent — it is one afternoon of connective tissue between two chapters that already work.</w:t>
      </w:r>
    </w:p>
    <w:p>
      <w:pPr>
        <w:pStyle w:val="Heading2"/>
        <w:spacing w:before="280" w:after="120"/>
      </w:pPr>
      <w:r>
        <w:rPr>
          <w:b/>
          <w:color w:val="1E2F47"/>
          <w:sz w:val="26"/>
        </w:rPr>
        <w:t>THE PRIORITY REVISION MAP</w:t>
      </w:r>
    </w:p>
    <w:p>
      <w:pPr>
        <w:spacing w:before="0"/>
      </w:pPr>
      <w:r>
        <w:rPr>
          <w:i/>
          <w:color w:val="44536B"/>
          <w:sz w:val="20"/>
        </w:rPr>
        <w:t>In a full read this is Part 2 of the brief — 5 to 8 moves ranked by what one fix closes, each carrying its non-scored depth marker. Three are honest here.</w:t>
      </w:r>
    </w:p>
    <w:p>
      <w:pPr>
        <w:pStyle w:val="ListBullet"/>
        <w:spacing w:after="80"/>
      </w:pPr>
      <w:r>
        <w:t>1. [Priority Revision] The trust floor between Chapters 2 and 3 — one fix closes both the Chapter 3 finding and the Chapter 6 correlation. Clears the setup-and-payoff gate.</w:t>
      </w:r>
    </w:p>
    <w:p>
      <w:pPr>
        <w:pStyle w:val="ListBullet"/>
        <w:spacing w:after="80"/>
      </w:pPr>
      <w:r>
        <w:t>2. [Further Elevation] Rosa in the cost — the manuscript arms her and never fires her.</w:t>
      </w:r>
    </w:p>
    <w:p>
      <w:pPr>
        <w:pStyle w:val="ListBullet"/>
        <w:spacing w:after="80"/>
      </w:pPr>
      <w:r>
        <w:t>3. [Priority Revision] Rademacher — a name on a tab is the book's whole promise, and the reader is counting. Clears the continuity gate.</w:t>
      </w:r>
    </w:p>
    <w:p>
      <w:pPr>
        <w:spacing w:before="80" w:after="200"/>
        <w:jc w:val="center"/>
      </w:pPr>
      <w:r>
        <w:rPr>
          <w:color w:val="7E5B1D"/>
        </w:rPr>
        <w:t>──────────────────────────────────────────────</w:t>
      </w:r>
    </w:p>
    <w:p>
      <w:pPr>
        <w:pStyle w:val="Heading2"/>
        <w:spacing w:before="280" w:after="120"/>
      </w:pPr>
      <w:r>
        <w:rPr>
          <w:b/>
          <w:color w:val="1E2F47"/>
          <w:sz w:val="26"/>
        </w:rPr>
        <w:t>APPENDIX — LANGUAGE PATTERN NOTES</w:t>
      </w:r>
    </w:p>
    <w:p>
      <w:pPr>
        <w:pStyle w:val="Heading3"/>
        <w:spacing w:before="160" w:after="120"/>
      </w:pPr>
      <w:r>
        <w:rPr>
          <w:b/>
          <w:color w:val="1E2F47"/>
          <w:sz w:val="24"/>
        </w:rPr>
        <w:t>13e. AI PATTERN RECOGNITION</w:t>
      </w:r>
    </w:p>
    <w:p>
      <w:pPr>
        <w:spacing w:before="0"/>
      </w:pPr>
      <w:r>
        <w:rPr>
          <w:i w:val="0"/>
          <w:sz w:val="22"/>
        </w:rPr>
        <w:t>The Reader's Verdict reviews the manuscript for language patterns commonly associated with AI-assisted writing and flags areas worth a closer look. These are pattern observations, not claims of authorship. No human or AI system can determine authorship with absolute certainty.</w:t>
        <w:br/>
        <w:br/>
        <w:t>No AI-pattern flags arose in this read.</w:t>
        <w:br/>
        <w:br/>
        <w:t>We flag patterns. We don't make accusations. The final judgment remains yours.</w:t>
      </w:r>
    </w:p>
    <w:p>
      <w:pPr>
        <w:spacing w:before="0"/>
      </w:pPr>
      <w:r>
        <w:rPr>
          <w:i/>
          <w:color w:val="44536B"/>
          <w:sz w:val="20"/>
        </w:rPr>
        <w:t>This section always prints. When nothing in the pages meets the threshold it says so in one line, as it does above — and that silence is never offered as evidence that a passage was written by a human.</w:t>
      </w:r>
    </w:p>
    <w:p>
      <w:pPr>
        <w:spacing w:before="80" w:after="200"/>
        <w:jc w:val="center"/>
      </w:pPr>
      <w:r>
        <w:rPr>
          <w:color w:val="7E5B1D"/>
        </w:rPr>
        <w:t>──────────────────────────────────────────────</w:t>
      </w:r>
    </w:p>
    <w:p>
      <w:pPr>
        <w:spacing w:before="0"/>
        <w:jc w:val="center"/>
      </w:pPr>
      <w:r>
        <w:rPr>
          <w:i w:val="0"/>
          <w:color w:val="44536B"/>
          <w:sz w:val="18"/>
        </w:rPr>
        <w:t>© 2026 Loving My Words. All Rights Reserved. Proprietary IP of Lei A. Benoit.</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4536B"/>
        <w:sz w:val="16"/>
      </w:rPr>
      <w:t xml:space="preserve">© 2026 Loving My Words. All Rights Reserved. Proprietary IP of Lei A. Benoit.   ·   </w:t>
    </w:r>
    <w:r>
      <w:rPr>
        <w:color w:val="44536B"/>
        <w:sz w:val="16"/>
      </w:rPr>
      <w:t xml:space="preserve">page </w:t>
    </w:r>
    <w:r>
      <w:rPr>
        <w:color w:val="44536B"/>
        <w:sz w:val="16"/>
      </w:rPr>
      <w:fldChar w:fldCharType="begin"/>
      <w:instrText xml:space="preserve"> PAGE </w:instrText>
      <w:fldChar w:fldCharType="end"/>
    </w:r>
    <w:r>
      <w:rPr>
        <w:color w:val="44536B"/>
        <w:sz w:val="16"/>
      </w:rPr>
      <w:t xml:space="preserve"> of </w:t>
    </w:r>
    <w:r>
      <w:rPr>
        <w:color w:val="44536B"/>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b/>
        <w:color w:val="7E5B1D"/>
        <w:sz w:val="16"/>
      </w:rPr>
      <w:t>DEMONSTRATION — an original sample written for The Reader’s Verdict proof pages. Not a customer’s manuscript, not a real submission, not testimony.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2F47"/>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2F47"/>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2F4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